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1785" w:type="dxa"/>
        <w:jc w:val="center"/>
        <w:tblCellMar>
          <w:top w:w="15" w:type="dxa"/>
          <w:left w:w="15" w:type="dxa"/>
          <w:bottom w:w="15" w:type="dxa"/>
          <w:right w:w="15" w:type="dxa"/>
        </w:tblCellMar>
        <w:tblLook w:val="04A0"/>
      </w:tblPr>
      <w:tblGrid>
        <w:gridCol w:w="11785"/>
      </w:tblGrid>
      <w:tr w:rsidR="00B76B25" w:rsidRPr="00B76B25">
        <w:trPr>
          <w:jc w:val="center"/>
        </w:trPr>
        <w:tc>
          <w:tcPr>
            <w:tcW w:w="0" w:type="auto"/>
            <w:shd w:val="clear" w:color="auto" w:fill="auto"/>
            <w:tcMar>
              <w:top w:w="0" w:type="dxa"/>
              <w:left w:w="0" w:type="dxa"/>
              <w:bottom w:w="0" w:type="dxa"/>
              <w:right w:w="0" w:type="dxa"/>
            </w:tcMar>
            <w:vAlign w:val="center"/>
            <w:hideMark/>
          </w:tcPr>
          <w:p w:rsidR="00B76B25" w:rsidRPr="00B76B25" w:rsidRDefault="00B76B25" w:rsidP="00B76B25">
            <w:pPr>
              <w:spacing w:after="0" w:line="240" w:lineRule="auto"/>
              <w:jc w:val="right"/>
              <w:rPr>
                <w:rFonts w:ascii="Times New Roman" w:eastAsia="Times New Roman" w:hAnsi="Times New Roman" w:cs="Times New Roman"/>
                <w:b/>
                <w:bCs/>
                <w:sz w:val="24"/>
                <w:szCs w:val="24"/>
              </w:rPr>
            </w:pPr>
          </w:p>
        </w:tc>
      </w:tr>
      <w:tr w:rsidR="00B76B25" w:rsidRPr="00B76B25">
        <w:trPr>
          <w:jc w:val="center"/>
        </w:trPr>
        <w:tc>
          <w:tcPr>
            <w:tcW w:w="0" w:type="auto"/>
            <w:shd w:val="clear" w:color="auto" w:fill="auto"/>
            <w:tcMar>
              <w:top w:w="0" w:type="dxa"/>
              <w:left w:w="0" w:type="dxa"/>
              <w:bottom w:w="0" w:type="dxa"/>
              <w:right w:w="0" w:type="dxa"/>
            </w:tcMar>
            <w:vAlign w:val="center"/>
            <w:hideMark/>
          </w:tcPr>
          <w:p w:rsidR="00B76B25" w:rsidRPr="00B76B25" w:rsidRDefault="00B76B25" w:rsidP="00B76B25">
            <w:pPr>
              <w:spacing w:after="0" w:line="240" w:lineRule="auto"/>
              <w:jc w:val="center"/>
              <w:rPr>
                <w:rFonts w:ascii="Times New Roman" w:eastAsia="Times New Roman" w:hAnsi="Times New Roman" w:cs="Times New Roman"/>
                <w:b/>
                <w:bCs/>
                <w:sz w:val="24"/>
                <w:szCs w:val="24"/>
              </w:rPr>
            </w:pPr>
            <w:r w:rsidRPr="00B76B25">
              <w:rPr>
                <w:rFonts w:ascii="Times New Roman" w:eastAsia="Times New Roman" w:hAnsi="Times New Roman" w:cs="Times New Roman"/>
                <w:b/>
                <w:bCs/>
                <w:color w:val="000040"/>
                <w:sz w:val="21"/>
                <w:szCs w:val="21"/>
                <w:rtl/>
              </w:rPr>
              <w:t>نظام مراكز الأشخاص ذوي الإعاقة رقم 40 لسنة 2014</w:t>
            </w:r>
          </w:p>
        </w:tc>
      </w:tr>
      <w:tr w:rsidR="00B76B25" w:rsidRPr="00B76B25">
        <w:trPr>
          <w:jc w:val="center"/>
        </w:trPr>
        <w:tc>
          <w:tcPr>
            <w:tcW w:w="0" w:type="auto"/>
            <w:shd w:val="clear" w:color="auto" w:fill="auto"/>
            <w:tcMar>
              <w:top w:w="0" w:type="dxa"/>
              <w:left w:w="0" w:type="dxa"/>
              <w:bottom w:w="0" w:type="dxa"/>
              <w:right w:w="0" w:type="dxa"/>
            </w:tcMar>
            <w:vAlign w:val="center"/>
            <w:hideMark/>
          </w:tcPr>
          <w:p w:rsidR="00B76B25" w:rsidRPr="00B76B25" w:rsidRDefault="00B76B25" w:rsidP="00B76B25">
            <w:pPr>
              <w:spacing w:after="0" w:line="240" w:lineRule="auto"/>
              <w:jc w:val="right"/>
              <w:rPr>
                <w:rFonts w:ascii="Times New Roman" w:eastAsia="Times New Roman" w:hAnsi="Times New Roman" w:cs="Times New Roman"/>
                <w:b/>
                <w:bCs/>
                <w:sz w:val="24"/>
                <w:szCs w:val="24"/>
              </w:rPr>
            </w:pPr>
          </w:p>
        </w:tc>
      </w:tr>
      <w:tr w:rsidR="00B76B25" w:rsidRPr="00B76B25">
        <w:trPr>
          <w:jc w:val="center"/>
        </w:trPr>
        <w:tc>
          <w:tcPr>
            <w:tcW w:w="0" w:type="auto"/>
            <w:shd w:val="clear" w:color="auto" w:fill="auto"/>
            <w:tcMar>
              <w:top w:w="0" w:type="dxa"/>
              <w:left w:w="0" w:type="dxa"/>
              <w:bottom w:w="0" w:type="dxa"/>
              <w:right w:w="0" w:type="dxa"/>
            </w:tcMar>
            <w:vAlign w:val="center"/>
            <w:hideMark/>
          </w:tcPr>
          <w:tbl>
            <w:tblPr>
              <w:tblW w:w="11785" w:type="dxa"/>
              <w:jc w:val="center"/>
              <w:tblCellMar>
                <w:top w:w="15" w:type="dxa"/>
                <w:left w:w="15" w:type="dxa"/>
                <w:bottom w:w="15" w:type="dxa"/>
                <w:right w:w="15" w:type="dxa"/>
              </w:tblCellMar>
              <w:tblLook w:val="04A0"/>
            </w:tblPr>
            <w:tblGrid>
              <w:gridCol w:w="11785"/>
            </w:tblGrid>
            <w:tr w:rsidR="00B76B25" w:rsidRPr="00B76B25">
              <w:trPr>
                <w:jc w:val="center"/>
              </w:trPr>
              <w:tc>
                <w:tcPr>
                  <w:tcW w:w="0" w:type="auto"/>
                  <w:shd w:val="clear" w:color="auto" w:fill="auto"/>
                  <w:tcMar>
                    <w:top w:w="0" w:type="dxa"/>
                    <w:left w:w="0" w:type="dxa"/>
                    <w:bottom w:w="0" w:type="dxa"/>
                    <w:right w:w="0" w:type="dxa"/>
                  </w:tcMar>
                  <w:vAlign w:val="center"/>
                  <w:hideMark/>
                </w:tcPr>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Pr>
                  </w:pPr>
                  <w:r w:rsidRPr="00B76B25">
                    <w:rPr>
                      <w:rFonts w:ascii="Times New Roman" w:eastAsia="Times New Roman" w:hAnsi="Times New Roman" w:cs="Times New Roman"/>
                      <w:b/>
                      <w:bCs/>
                      <w:sz w:val="20"/>
                      <w:szCs w:val="20"/>
                      <w:rtl/>
                    </w:rPr>
                    <w:t>لمنشور على الصفحة 2283 من عدد المجلة القضائية رقم 5278 بتاريخ 2014/4/1</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صادر بموجب الفقرة 3 من المادة 4 من قانون وزارة الشؤون الاجتماعية والعمل وتعديلاته رقم 14 لسنة1956</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666666"/>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FF0000"/>
                      <w:sz w:val="20"/>
                      <w:szCs w:val="20"/>
                      <w:rtl/>
                    </w:rPr>
                    <w:t>المادة 1</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يسمى هذا النظام (نظام مراكز الأشخاص ذوي الإعاقة لسنة 2014) ويعمل به من تاريخ نشره في الجريدة الرسمية</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666666"/>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FF0000"/>
                      <w:sz w:val="20"/>
                      <w:szCs w:val="20"/>
                      <w:rtl/>
                    </w:rPr>
                    <w:t>المادة 2</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يكون للكلمات والعبارات التالية حيثما وردت في هذا النظام المعاني المخصصة لها أدناه ما لم تدل القرينة على غير ذلك</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الوزارة</w:t>
                  </w:r>
                  <w:r w:rsidRPr="00B76B25">
                    <w:rPr>
                      <w:rFonts w:ascii="Times New Roman" w:eastAsia="Times New Roman" w:hAnsi="Times New Roman" w:cs="Times New Roman"/>
                      <w:b/>
                      <w:bCs/>
                      <w:sz w:val="20"/>
                      <w:szCs w:val="20"/>
                    </w:rPr>
                    <w:t> : </w:t>
                  </w:r>
                  <w:r w:rsidRPr="00B76B25">
                    <w:rPr>
                      <w:rFonts w:ascii="Times New Roman" w:eastAsia="Times New Roman" w:hAnsi="Times New Roman" w:cs="Times New Roman"/>
                      <w:b/>
                      <w:bCs/>
                      <w:sz w:val="20"/>
                      <w:szCs w:val="20"/>
                      <w:rtl/>
                    </w:rPr>
                    <w:t>وزارة التنمية الاجتماعية</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الوزير</w:t>
                  </w:r>
                  <w:r w:rsidRPr="00B76B25">
                    <w:rPr>
                      <w:rFonts w:ascii="Times New Roman" w:eastAsia="Times New Roman" w:hAnsi="Times New Roman" w:cs="Times New Roman"/>
                      <w:b/>
                      <w:bCs/>
                      <w:sz w:val="20"/>
                      <w:szCs w:val="20"/>
                    </w:rPr>
                    <w:t> : </w:t>
                  </w:r>
                  <w:r w:rsidRPr="00B76B25">
                    <w:rPr>
                      <w:rFonts w:ascii="Times New Roman" w:eastAsia="Times New Roman" w:hAnsi="Times New Roman" w:cs="Times New Roman"/>
                      <w:b/>
                      <w:bCs/>
                      <w:sz w:val="20"/>
                      <w:szCs w:val="20"/>
                      <w:rtl/>
                    </w:rPr>
                    <w:t>وزير التنمية الاجتماعية</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الأمين العام</w:t>
                  </w:r>
                  <w:r w:rsidRPr="00B76B25">
                    <w:rPr>
                      <w:rFonts w:ascii="Times New Roman" w:eastAsia="Times New Roman" w:hAnsi="Times New Roman" w:cs="Times New Roman"/>
                      <w:b/>
                      <w:bCs/>
                      <w:sz w:val="20"/>
                      <w:szCs w:val="20"/>
                    </w:rPr>
                    <w:t> : </w:t>
                  </w:r>
                  <w:r w:rsidRPr="00B76B25">
                    <w:rPr>
                      <w:rFonts w:ascii="Times New Roman" w:eastAsia="Times New Roman" w:hAnsi="Times New Roman" w:cs="Times New Roman"/>
                      <w:b/>
                      <w:bCs/>
                      <w:sz w:val="20"/>
                      <w:szCs w:val="20"/>
                      <w:rtl/>
                    </w:rPr>
                    <w:t>أمين عام الوزارة</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المديرية</w:t>
                  </w:r>
                  <w:r w:rsidRPr="00B76B25">
                    <w:rPr>
                      <w:rFonts w:ascii="Times New Roman" w:eastAsia="Times New Roman" w:hAnsi="Times New Roman" w:cs="Times New Roman"/>
                      <w:b/>
                      <w:bCs/>
                      <w:sz w:val="20"/>
                      <w:szCs w:val="20"/>
                    </w:rPr>
                    <w:t> : </w:t>
                  </w:r>
                  <w:r w:rsidRPr="00B76B25">
                    <w:rPr>
                      <w:rFonts w:ascii="Times New Roman" w:eastAsia="Times New Roman" w:hAnsi="Times New Roman" w:cs="Times New Roman"/>
                      <w:b/>
                      <w:bCs/>
                      <w:sz w:val="20"/>
                      <w:szCs w:val="20"/>
                      <w:rtl/>
                    </w:rPr>
                    <w:t>الوحدة التنظيمية المعنية بشؤون الأشخاص ذوي الإعاقة في مركز الوزارة</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المديرية الميدانية</w:t>
                  </w:r>
                  <w:r w:rsidRPr="00B76B25">
                    <w:rPr>
                      <w:rFonts w:ascii="Times New Roman" w:eastAsia="Times New Roman" w:hAnsi="Times New Roman" w:cs="Times New Roman"/>
                      <w:b/>
                      <w:bCs/>
                      <w:sz w:val="20"/>
                      <w:szCs w:val="20"/>
                    </w:rPr>
                    <w:t>: </w:t>
                  </w:r>
                  <w:r w:rsidRPr="00B76B25">
                    <w:rPr>
                      <w:rFonts w:ascii="Times New Roman" w:eastAsia="Times New Roman" w:hAnsi="Times New Roman" w:cs="Times New Roman"/>
                      <w:b/>
                      <w:bCs/>
                      <w:sz w:val="20"/>
                      <w:szCs w:val="20"/>
                      <w:rtl/>
                    </w:rPr>
                    <w:t>مديرية التنمية الاجتماعية في المحافظة أو اللواء</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المركز</w:t>
                  </w:r>
                  <w:r w:rsidRPr="00B76B25">
                    <w:rPr>
                      <w:rFonts w:ascii="Times New Roman" w:eastAsia="Times New Roman" w:hAnsi="Times New Roman" w:cs="Times New Roman"/>
                      <w:b/>
                      <w:bCs/>
                      <w:sz w:val="20"/>
                      <w:szCs w:val="20"/>
                    </w:rPr>
                    <w:t>: </w:t>
                  </w:r>
                  <w:r w:rsidRPr="00B76B25">
                    <w:rPr>
                      <w:rFonts w:ascii="Times New Roman" w:eastAsia="Times New Roman" w:hAnsi="Times New Roman" w:cs="Times New Roman"/>
                      <w:b/>
                      <w:bCs/>
                      <w:sz w:val="20"/>
                      <w:szCs w:val="20"/>
                      <w:rtl/>
                    </w:rPr>
                    <w:t>أي جهة تقدم خدمات التعليم والتدريب والتأهيل والإيواء والرعاية أو أي منها للأشخاص ذوي الإعاقة سواء كان في القطاع العام أو الخاص أو التطوعي وفق أحكام هذا النظام</w:t>
                  </w:r>
                  <w:r w:rsidRPr="00B76B25">
                    <w:rPr>
                      <w:rFonts w:ascii="Times New Roman" w:eastAsia="Times New Roman" w:hAnsi="Times New Roman" w:cs="Times New Roman"/>
                      <w:b/>
                      <w:bCs/>
                      <w:sz w:val="20"/>
                      <w:szCs w:val="20"/>
                    </w:rPr>
                    <w:t>.</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المنتفع</w:t>
                  </w:r>
                  <w:r w:rsidRPr="00B76B25">
                    <w:rPr>
                      <w:rFonts w:ascii="Times New Roman" w:eastAsia="Times New Roman" w:hAnsi="Times New Roman" w:cs="Times New Roman"/>
                      <w:b/>
                      <w:bCs/>
                      <w:sz w:val="20"/>
                      <w:szCs w:val="20"/>
                    </w:rPr>
                    <w:t>: </w:t>
                  </w:r>
                  <w:r w:rsidRPr="00B76B25">
                    <w:rPr>
                      <w:rFonts w:ascii="Times New Roman" w:eastAsia="Times New Roman" w:hAnsi="Times New Roman" w:cs="Times New Roman"/>
                      <w:b/>
                      <w:bCs/>
                      <w:sz w:val="20"/>
                      <w:szCs w:val="20"/>
                      <w:rtl/>
                    </w:rPr>
                    <w:t>الشخص ذو الإعاقة الذي ينتفع من الخدمات التي يقدمها المركز</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لجنة الترخيص</w:t>
                  </w:r>
                  <w:r w:rsidRPr="00B76B25">
                    <w:rPr>
                      <w:rFonts w:ascii="Times New Roman" w:eastAsia="Times New Roman" w:hAnsi="Times New Roman" w:cs="Times New Roman"/>
                      <w:b/>
                      <w:bCs/>
                      <w:sz w:val="20"/>
                      <w:szCs w:val="20"/>
                    </w:rPr>
                    <w:t>: </w:t>
                  </w:r>
                  <w:r w:rsidRPr="00B76B25">
                    <w:rPr>
                      <w:rFonts w:ascii="Times New Roman" w:eastAsia="Times New Roman" w:hAnsi="Times New Roman" w:cs="Times New Roman"/>
                      <w:b/>
                      <w:bCs/>
                      <w:sz w:val="20"/>
                      <w:szCs w:val="20"/>
                      <w:rtl/>
                    </w:rPr>
                    <w:t>اللجنة المشكلة لغايات منح الترخيص وفق أحكام هذا النظام</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FF0000"/>
                      <w:sz w:val="20"/>
                      <w:szCs w:val="20"/>
                      <w:rtl/>
                    </w:rPr>
                    <w:t>المادة 3</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يجوز للأشخاص الطبيعين والمؤسسات العامة والخاصة والتطوعية المحلية منها والأجنبية والمسجلة وفقاً للتشريعات النافذة التقدم بطلب لترخيص المركز وفقاً لأحكام هذا النظام</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666666"/>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FF0000"/>
                      <w:sz w:val="20"/>
                      <w:szCs w:val="20"/>
                      <w:rtl/>
                    </w:rPr>
                    <w:t>المادة 4</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‌أ. يشترط في مقدم طلب ترخيص المركز إذا كان شخصاً طبيعياً ما يلي</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1</w:t>
                  </w:r>
                  <w:r w:rsidRPr="00B76B25">
                    <w:rPr>
                      <w:rFonts w:ascii="Times New Roman" w:eastAsia="Times New Roman" w:hAnsi="Times New Roman" w:cs="Times New Roman"/>
                      <w:b/>
                      <w:bCs/>
                      <w:sz w:val="20"/>
                      <w:szCs w:val="20"/>
                    </w:rPr>
                    <w:t> </w:t>
                  </w:r>
                  <w:r w:rsidRPr="00B76B25">
                    <w:rPr>
                      <w:rFonts w:ascii="Times New Roman" w:eastAsia="Times New Roman" w:hAnsi="Times New Roman" w:cs="Times New Roman"/>
                      <w:b/>
                      <w:bCs/>
                      <w:sz w:val="20"/>
                      <w:szCs w:val="20"/>
                      <w:rtl/>
                    </w:rPr>
                    <w:t>. أن يكون أردني الجنسية وأن لا يقل عمره عن خمس وعشرين سنة</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2</w:t>
                  </w:r>
                  <w:r w:rsidRPr="00B76B25">
                    <w:rPr>
                      <w:rFonts w:ascii="Times New Roman" w:eastAsia="Times New Roman" w:hAnsi="Times New Roman" w:cs="Times New Roman"/>
                      <w:b/>
                      <w:bCs/>
                      <w:sz w:val="20"/>
                      <w:szCs w:val="20"/>
                    </w:rPr>
                    <w:t> </w:t>
                  </w:r>
                  <w:r w:rsidRPr="00B76B25">
                    <w:rPr>
                      <w:rFonts w:ascii="Times New Roman" w:eastAsia="Times New Roman" w:hAnsi="Times New Roman" w:cs="Times New Roman"/>
                      <w:b/>
                      <w:bCs/>
                      <w:sz w:val="20"/>
                      <w:szCs w:val="20"/>
                      <w:rtl/>
                    </w:rPr>
                    <w:t>. أن يكون حسن السيرة والسلوك وغير محكوم بجناية أو بجنحة مخلة بالشرف والأخلاق العامة وأن يحصل على موافقة من الجهات المعنية إذا كان شخصاً غير أردني</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‌ب. يشترط في مقدم طلب ترخيص المركز إذا كان شخصاً اعتبارياً أن يكون حاصلاً على شهادة تسجيل أصولية وفق أحكام التشريعات النافذة ذات العلاقة على أن تتضمن هذه الشهادة اسم المؤسس أو المؤسسين والشركاء والمفوضين بالتوقيع عنها</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‌ج. على طالب الترخيص تقديم كفالة بنكية أو شيك مصدق من البنك تحدد قيمة أي منهما حسب الطاقة الاستيعابية للمركز بواقع ألف دينار عن كل منتفع</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FF0000"/>
                      <w:sz w:val="20"/>
                      <w:szCs w:val="20"/>
                      <w:rtl/>
                    </w:rPr>
                    <w:t>المادة 5</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تحدد الشروط التي يجب أن تتوافر في بناء المركز والكوادر البشرية العاملة فيه والخدمات والبرامج التي يقدمها بموجب تعليمات تصدر لهذه الغاية</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FF0000"/>
                      <w:sz w:val="20"/>
                      <w:szCs w:val="20"/>
                      <w:rtl/>
                    </w:rPr>
                    <w:t>المادة 6</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‌أ. يقدم طلب الترخيص على النموذج المعتمد للمديرية الميدانية موقعاً من طالب الترخيص على ثلاث نسخ مرفق به النظام الداخلي للمركز</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‌ب. يجب أن يتضمن النظام الداخلي للمركز ما يلي</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1. اسم المركز وعنوانه</w:t>
                  </w:r>
                  <w:r w:rsidRPr="00B76B25">
                    <w:rPr>
                      <w:rFonts w:ascii="Times New Roman" w:eastAsia="Times New Roman" w:hAnsi="Times New Roman" w:cs="Times New Roman"/>
                      <w:b/>
                      <w:bCs/>
                      <w:sz w:val="20"/>
                      <w:szCs w:val="20"/>
                    </w:rPr>
                    <w:t>.</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2</w:t>
                  </w:r>
                  <w:r w:rsidRPr="00B76B25">
                    <w:rPr>
                      <w:rFonts w:ascii="Times New Roman" w:eastAsia="Times New Roman" w:hAnsi="Times New Roman" w:cs="Times New Roman"/>
                      <w:b/>
                      <w:bCs/>
                      <w:sz w:val="20"/>
                      <w:szCs w:val="20"/>
                    </w:rPr>
                    <w:t> </w:t>
                  </w:r>
                  <w:r w:rsidRPr="00B76B25">
                    <w:rPr>
                      <w:rFonts w:ascii="Times New Roman" w:eastAsia="Times New Roman" w:hAnsi="Times New Roman" w:cs="Times New Roman"/>
                      <w:b/>
                      <w:bCs/>
                      <w:sz w:val="20"/>
                      <w:szCs w:val="20"/>
                      <w:rtl/>
                    </w:rPr>
                    <w:t>. مالك المركز أو قائمة بأسماء المؤسسين والشركاء إذا كان طالب الترخيص شخصاً معنوياً</w:t>
                  </w:r>
                  <w:r w:rsidRPr="00B76B25">
                    <w:rPr>
                      <w:rFonts w:ascii="Times New Roman" w:eastAsia="Times New Roman" w:hAnsi="Times New Roman" w:cs="Times New Roman"/>
                      <w:b/>
                      <w:bCs/>
                      <w:sz w:val="20"/>
                      <w:szCs w:val="20"/>
                    </w:rPr>
                    <w:t>.</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3. أهداف المركز ورؤيته ورسالته</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4.</w:t>
                  </w:r>
                  <w:r w:rsidRPr="00B76B25">
                    <w:rPr>
                      <w:rFonts w:ascii="Times New Roman" w:eastAsia="Times New Roman" w:hAnsi="Times New Roman" w:cs="Times New Roman"/>
                      <w:b/>
                      <w:bCs/>
                      <w:sz w:val="20"/>
                      <w:szCs w:val="20"/>
                    </w:rPr>
                    <w:t> </w:t>
                  </w:r>
                  <w:r w:rsidRPr="00B76B25">
                    <w:rPr>
                      <w:rFonts w:ascii="Times New Roman" w:eastAsia="Times New Roman" w:hAnsi="Times New Roman" w:cs="Times New Roman"/>
                      <w:b/>
                      <w:bCs/>
                      <w:sz w:val="20"/>
                      <w:szCs w:val="20"/>
                      <w:rtl/>
                    </w:rPr>
                    <w:t> طبيعة الخدمة التي يرغب المركز في تقديمها سواء كانت نهارية أو إيوائية أو كليهما</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5. الفئة المستهدفة لتقديم الخدمة وأعمارهم وفئة إعاقتهم ودرجتها والطاقة الاستيعابية للمركز</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‌ج. 1. ترفع المديرية الميدانية طلب الترخيص إلى المديرية متضمناً توصياتها</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2.</w:t>
                  </w:r>
                  <w:r w:rsidRPr="00B76B25">
                    <w:rPr>
                      <w:rFonts w:ascii="Times New Roman" w:eastAsia="Times New Roman" w:hAnsi="Times New Roman" w:cs="Times New Roman"/>
                      <w:b/>
                      <w:bCs/>
                      <w:sz w:val="20"/>
                      <w:szCs w:val="20"/>
                    </w:rPr>
                    <w:t> </w:t>
                  </w:r>
                  <w:r w:rsidRPr="00B76B25">
                    <w:rPr>
                      <w:rFonts w:ascii="Times New Roman" w:eastAsia="Times New Roman" w:hAnsi="Times New Roman" w:cs="Times New Roman"/>
                      <w:b/>
                      <w:bCs/>
                      <w:sz w:val="20"/>
                      <w:szCs w:val="20"/>
                      <w:rtl/>
                    </w:rPr>
                    <w:t>تقوم المديرية بالكشف الميداني على المركز وترفع تقريراً للأمين العام لإحالة الطلب إلى لجنة الترخيص</w:t>
                  </w:r>
                  <w:r w:rsidRPr="00B76B25">
                    <w:rPr>
                      <w:rFonts w:ascii="Times New Roman" w:eastAsia="Times New Roman" w:hAnsi="Times New Roman" w:cs="Times New Roman"/>
                      <w:b/>
                      <w:bCs/>
                      <w:sz w:val="20"/>
                      <w:szCs w:val="20"/>
                    </w:rPr>
                    <w:t> </w:t>
                  </w:r>
                  <w:r w:rsidRPr="00B76B25">
                    <w:rPr>
                      <w:rFonts w:ascii="Times New Roman" w:eastAsia="Times New Roman" w:hAnsi="Times New Roman" w:cs="Times New Roman"/>
                      <w:b/>
                      <w:bCs/>
                      <w:color w:val="666666"/>
                      <w:sz w:val="20"/>
                      <w:szCs w:val="20"/>
                    </w:rPr>
                    <w:t>.</w:t>
                  </w:r>
                </w:p>
                <w:p w:rsidR="00B76B25" w:rsidRPr="00B76B25" w:rsidRDefault="00B76B25" w:rsidP="00B76B25">
                  <w:pPr>
                    <w:shd w:val="clear" w:color="auto" w:fill="FFFFFF"/>
                    <w:bidi/>
                    <w:spacing w:after="30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666666"/>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FF0000"/>
                      <w:sz w:val="20"/>
                      <w:szCs w:val="20"/>
                      <w:rtl/>
                    </w:rPr>
                    <w:t>المادة 7</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أ‌. يشكل الوزير في الوزارة لجنة تسمى (لجنة الترخيص) برئاسة مدير المديرية وعضوية كل من</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1</w:t>
                  </w:r>
                  <w:r w:rsidRPr="00B76B25">
                    <w:rPr>
                      <w:rFonts w:ascii="Times New Roman" w:eastAsia="Times New Roman" w:hAnsi="Times New Roman" w:cs="Times New Roman"/>
                      <w:b/>
                      <w:bCs/>
                      <w:sz w:val="20"/>
                      <w:szCs w:val="20"/>
                    </w:rPr>
                    <w:t> </w:t>
                  </w:r>
                  <w:r w:rsidRPr="00B76B25">
                    <w:rPr>
                      <w:rFonts w:ascii="Times New Roman" w:eastAsia="Times New Roman" w:hAnsi="Times New Roman" w:cs="Times New Roman"/>
                      <w:b/>
                      <w:bCs/>
                      <w:sz w:val="20"/>
                      <w:szCs w:val="20"/>
                      <w:rtl/>
                    </w:rPr>
                    <w:t>. ممثل عن المديرية الميدانية</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2. ممثل عن مديرية الأبنية في الوزارة</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3. ممثل عن وحدة الرقابة والتفتيش في الوزارة</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Pr>
                    <w:t>4</w:t>
                  </w:r>
                  <w:r w:rsidRPr="00B76B25">
                    <w:rPr>
                      <w:rFonts w:ascii="Times New Roman" w:eastAsia="Times New Roman" w:hAnsi="Times New Roman" w:cs="Times New Roman"/>
                      <w:b/>
                      <w:bCs/>
                      <w:sz w:val="20"/>
                      <w:szCs w:val="20"/>
                      <w:rtl/>
                    </w:rPr>
                    <w:t>. ممثل عن مديرية الدفاع المدني</w:t>
                  </w:r>
                  <w:r w:rsidRPr="00B76B25">
                    <w:rPr>
                      <w:rFonts w:ascii="Times New Roman" w:eastAsia="Times New Roman" w:hAnsi="Times New Roman" w:cs="Times New Roman"/>
                      <w:b/>
                      <w:bCs/>
                      <w:sz w:val="20"/>
                      <w:szCs w:val="20"/>
                    </w:rPr>
                    <w:t>.</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5. شخصين من ذوي الخبرة والاختصاص يسميهما الوزير</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ب‌. 1. تتولى اللجنة الكشف الميداني على بناء المركز المراد ترخيصه والتحقق من استكماله للشروط والمعايير المنصوص عليها في التعليمات الصادرة لهذه الغاية وذلك خلال شهر من تاريخ إحالة الطلب إليها وترفع تقريراً بذلك إلى الأمين</w:t>
                  </w:r>
                  <w:r w:rsidRPr="00B76B25">
                    <w:rPr>
                      <w:rFonts w:ascii="Times New Roman" w:eastAsia="Times New Roman" w:hAnsi="Times New Roman" w:cs="Times New Roman"/>
                      <w:b/>
                      <w:bCs/>
                      <w:sz w:val="20"/>
                      <w:szCs w:val="20"/>
                    </w:rPr>
                    <w:t> </w:t>
                  </w:r>
                  <w:r w:rsidRPr="00B76B25">
                    <w:rPr>
                      <w:rFonts w:ascii="Times New Roman" w:eastAsia="Times New Roman" w:hAnsi="Times New Roman" w:cs="Times New Roman"/>
                      <w:b/>
                      <w:bCs/>
                      <w:sz w:val="20"/>
                      <w:szCs w:val="20"/>
                      <w:rtl/>
                    </w:rPr>
                    <w:t>العام</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2. للجنة الاستعانة بذوي الخبرة والاختصاص للاستئناس برأيهم كلما دعت الحاجة لذلك</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666666"/>
                      <w:sz w:val="20"/>
                      <w:szCs w:val="20"/>
                    </w:rPr>
                    <w:lastRenderedPageBreak/>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FF0000"/>
                      <w:sz w:val="20"/>
                      <w:szCs w:val="20"/>
                      <w:rtl/>
                    </w:rPr>
                    <w:t>المادة 8</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أ‌. يتم منح الترخيص بقرار من الوزير بناء على تنسيب الأمين العام المستند إلى توصية لجنة الترخيص</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ب‌. تكون مدة الترخيص سنة قابلة للتجديد سنوياً وفق تعليمات تصدر لهذه الغاية</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FF0000"/>
                      <w:sz w:val="20"/>
                      <w:szCs w:val="20"/>
                      <w:rtl/>
                    </w:rPr>
                    <w:t>المادة 9</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يلتزم المركز بما يلي</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‌أ. اتخاذ جميع الإجراءات التي تكفل صحة المنتفعين وسلامتهم الجسدية والنفسية</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‌ب. تبليغ الجهات المختصة والوزارة وذوي المنتفعين في حال مرضهم أو تعرضهم لأي إساءة أو ضرر</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‌ج. توفير البرامج والخدمات المتخصصة بما يتفق واحتياجات المنتفعين</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‌د. تنظيم السجلات الإدارية والمالية والفنية وحفظها على أن تخضع هذه السجلات لرقابة لجان المتابعة والموظفين المكلفين بذلك من الوزارة</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هـ. استخدام الموظفين الفنيين المرخصين من الجهات ذات الاختصاص</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و‌. توقيع عقد من ذوي المنتفعين</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ز‌. تقديم تقرير سنوي مالي وإداري للوزارة في نهاية كل سنة</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ح‌. تركيب تجهيزات مراقبة الكترونية</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FF0000"/>
                      <w:sz w:val="20"/>
                      <w:szCs w:val="20"/>
                      <w:rtl/>
                    </w:rPr>
                    <w:t>المادة 10</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أ‌. تتولى الوزارة الإشراف والرقابة والتفتيش على المراكز وتكليف أي من موظفيها بالتفتيش عليها وللوزارة في سبيل ذلك اتخاذ ما يلزم من تدابير وإجراءات</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tl/>
                    </w:rPr>
                    <w:t>ب‌. يشكل الوزير لجنة أو أكثر تتولى المتابعة والتقييم والإشراف على أداء المراكز المرخصة بموجب هذا النظام من بين موظفي الوزارة ومن غيرهم على أن يكونوا من ذوي الخبرة والاختصاص في هذا المجال وينظم عمل اللجنة وصلاحياتها بموجب تعليمات تصدر لهذه الغاية</w:t>
                  </w: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FF0000"/>
                      <w:sz w:val="20"/>
                      <w:szCs w:val="20"/>
                      <w:rtl/>
                    </w:rPr>
                    <w:t>المادة 11</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666666"/>
                      <w:sz w:val="20"/>
                      <w:szCs w:val="20"/>
                      <w:rtl/>
                    </w:rPr>
                    <w:t>يحظر على المركز القيام بأي مما يلي إلا بعد الحصول على موافقة الوزير الخطية بناء على تنسيب الأمين العام المستند إلى توصية لجنة الترخيص</w:t>
                  </w:r>
                  <w:r w:rsidRPr="00B76B25">
                    <w:rPr>
                      <w:rFonts w:ascii="Times New Roman" w:eastAsia="Times New Roman" w:hAnsi="Times New Roman" w:cs="Times New Roman"/>
                      <w:b/>
                      <w:bCs/>
                      <w:color w:val="666666"/>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666666"/>
                      <w:sz w:val="20"/>
                      <w:szCs w:val="20"/>
                      <w:rtl/>
                    </w:rPr>
                    <w:t>أ‌. نقل مقر المركز من مبنى لآخر أو توسعته أو التنازل عنه للغير أو فتح فروع له أو التعديل على الخدمات والبرامج التي يقدمها أو على الفئات العمرية للمنتفعين</w:t>
                  </w:r>
                  <w:r w:rsidRPr="00B76B25">
                    <w:rPr>
                      <w:rFonts w:ascii="Times New Roman" w:eastAsia="Times New Roman" w:hAnsi="Times New Roman" w:cs="Times New Roman"/>
                      <w:b/>
                      <w:bCs/>
                      <w:color w:val="666666"/>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666666"/>
                      <w:sz w:val="20"/>
                      <w:szCs w:val="20"/>
                      <w:rtl/>
                    </w:rPr>
                    <w:t>ب‌. التعديل على النظام الداخلي للمركز</w:t>
                  </w:r>
                  <w:r w:rsidRPr="00B76B25">
                    <w:rPr>
                      <w:rFonts w:ascii="Times New Roman" w:eastAsia="Times New Roman" w:hAnsi="Times New Roman" w:cs="Times New Roman"/>
                      <w:b/>
                      <w:bCs/>
                      <w:color w:val="666666"/>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666666"/>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FF0000"/>
                      <w:sz w:val="20"/>
                      <w:szCs w:val="20"/>
                      <w:rtl/>
                    </w:rPr>
                    <w:t>المادة 12</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666666"/>
                      <w:sz w:val="20"/>
                      <w:szCs w:val="20"/>
                      <w:rtl/>
                    </w:rPr>
                    <w:t>‌أ. إذا خالف المركز أي حكم من أحكام هذا النظام أو التعليمات الصادرة بمقتضاه أو النظام الداخلي له يتخذ الوزير بحقه الإجراءات التالية</w:t>
                  </w:r>
                  <w:r w:rsidRPr="00B76B25">
                    <w:rPr>
                      <w:rFonts w:ascii="Times New Roman" w:eastAsia="Times New Roman" w:hAnsi="Times New Roman" w:cs="Times New Roman"/>
                      <w:b/>
                      <w:bCs/>
                      <w:color w:val="666666"/>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666666"/>
                      <w:sz w:val="20"/>
                      <w:szCs w:val="20"/>
                      <w:rtl/>
                    </w:rPr>
                    <w:t>1</w:t>
                  </w:r>
                  <w:r w:rsidRPr="00B76B25">
                    <w:rPr>
                      <w:rFonts w:ascii="Times New Roman" w:eastAsia="Times New Roman" w:hAnsi="Times New Roman" w:cs="Times New Roman"/>
                      <w:b/>
                      <w:bCs/>
                      <w:color w:val="666666"/>
                      <w:sz w:val="20"/>
                      <w:szCs w:val="20"/>
                    </w:rPr>
                    <w:t> </w:t>
                  </w:r>
                  <w:r w:rsidRPr="00B76B25">
                    <w:rPr>
                      <w:rFonts w:ascii="Times New Roman" w:eastAsia="Times New Roman" w:hAnsi="Times New Roman" w:cs="Times New Roman"/>
                      <w:b/>
                      <w:bCs/>
                      <w:color w:val="666666"/>
                      <w:sz w:val="20"/>
                      <w:szCs w:val="20"/>
                      <w:rtl/>
                    </w:rPr>
                    <w:t>.الإنذار الخطي لإزالة المخالفة خلال شهر من تاريخ الإنذار</w:t>
                  </w:r>
                  <w:r w:rsidRPr="00B76B25">
                    <w:rPr>
                      <w:rFonts w:ascii="Times New Roman" w:eastAsia="Times New Roman" w:hAnsi="Times New Roman" w:cs="Times New Roman"/>
                      <w:b/>
                      <w:bCs/>
                      <w:color w:val="666666"/>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666666"/>
                      <w:sz w:val="20"/>
                      <w:szCs w:val="20"/>
                      <w:rtl/>
                    </w:rPr>
                    <w:t>2. الإغلاق لمدة ثلاثة أشهر</w:t>
                  </w:r>
                  <w:r w:rsidRPr="00B76B25">
                    <w:rPr>
                      <w:rFonts w:ascii="Times New Roman" w:eastAsia="Times New Roman" w:hAnsi="Times New Roman" w:cs="Times New Roman"/>
                      <w:b/>
                      <w:bCs/>
                      <w:color w:val="666666"/>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666666"/>
                      <w:sz w:val="20"/>
                      <w:szCs w:val="20"/>
                      <w:rtl/>
                    </w:rPr>
                    <w:t>3. إلغاء الترخيص نهائياً إذا لم يقم بتصويب أوضاعه خلال المدة المنصوص عليها في البند (2) من هذه الفقرة أو في حال استمرار المخالفة أو تكرارها</w:t>
                  </w:r>
                  <w:r w:rsidRPr="00B76B25">
                    <w:rPr>
                      <w:rFonts w:ascii="Times New Roman" w:eastAsia="Times New Roman" w:hAnsi="Times New Roman" w:cs="Times New Roman"/>
                      <w:b/>
                      <w:bCs/>
                      <w:color w:val="666666"/>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666666"/>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666666"/>
                      <w:sz w:val="20"/>
                      <w:szCs w:val="20"/>
                      <w:rtl/>
                    </w:rPr>
                    <w:t>‌ب. على الرغم مما ورد في الفقرة (أ) من هذه المادة ، للوزير إغلاق المركز دون الحاجة إلى توجيه الإنذار في الحالات التالية</w:t>
                  </w:r>
                  <w:r w:rsidRPr="00B76B25">
                    <w:rPr>
                      <w:rFonts w:ascii="Times New Roman" w:eastAsia="Times New Roman" w:hAnsi="Times New Roman" w:cs="Times New Roman"/>
                      <w:b/>
                      <w:bCs/>
                      <w:color w:val="666666"/>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666666"/>
                      <w:sz w:val="20"/>
                      <w:szCs w:val="20"/>
                      <w:rtl/>
                    </w:rPr>
                    <w:t>1. </w:t>
                  </w:r>
                  <w:r w:rsidRPr="00B76B25">
                    <w:rPr>
                      <w:rFonts w:ascii="Times New Roman" w:eastAsia="Times New Roman" w:hAnsi="Times New Roman" w:cs="Times New Roman"/>
                      <w:b/>
                      <w:bCs/>
                      <w:color w:val="666666"/>
                      <w:sz w:val="20"/>
                      <w:szCs w:val="20"/>
                    </w:rPr>
                    <w:t> </w:t>
                  </w:r>
                  <w:r w:rsidRPr="00B76B25">
                    <w:rPr>
                      <w:rFonts w:ascii="Times New Roman" w:eastAsia="Times New Roman" w:hAnsi="Times New Roman" w:cs="Times New Roman"/>
                      <w:b/>
                      <w:bCs/>
                      <w:color w:val="666666"/>
                      <w:sz w:val="20"/>
                      <w:szCs w:val="20"/>
                      <w:rtl/>
                    </w:rPr>
                    <w:t>ارتكاب مخالفات جسيمة تتعلق بأمن المنتفعين وسلامتهم ولم تبلغ عنها الوزارة والجهات المعنية ولم تتخذ التدابير لمنعها حسب الأصول</w:t>
                  </w:r>
                  <w:r w:rsidRPr="00B76B25">
                    <w:rPr>
                      <w:rFonts w:ascii="Times New Roman" w:eastAsia="Times New Roman" w:hAnsi="Times New Roman" w:cs="Times New Roman"/>
                      <w:b/>
                      <w:bCs/>
                      <w:color w:val="666666"/>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666666"/>
                      <w:sz w:val="20"/>
                      <w:szCs w:val="20"/>
                      <w:rtl/>
                    </w:rPr>
                    <w:t>2. ارتكاب أعمال عنف أو إيذاء للمنتفعين</w:t>
                  </w:r>
                  <w:r w:rsidRPr="00B76B25">
                    <w:rPr>
                      <w:rFonts w:ascii="Times New Roman" w:eastAsia="Times New Roman" w:hAnsi="Times New Roman" w:cs="Times New Roman"/>
                      <w:b/>
                      <w:bCs/>
                      <w:color w:val="666666"/>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666666"/>
                      <w:sz w:val="20"/>
                      <w:szCs w:val="20"/>
                      <w:rtl/>
                    </w:rPr>
                    <w:t>3. منع لجان المتابعة والتقييم والإشراف والموظفين المكلفين من الوزارة من دخول المركز</w:t>
                  </w:r>
                  <w:r w:rsidRPr="00B76B25">
                    <w:rPr>
                      <w:rFonts w:ascii="Times New Roman" w:eastAsia="Times New Roman" w:hAnsi="Times New Roman" w:cs="Times New Roman"/>
                      <w:b/>
                      <w:bCs/>
                      <w:color w:val="666666"/>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666666"/>
                      <w:sz w:val="20"/>
                      <w:szCs w:val="20"/>
                      <w:rtl/>
                    </w:rPr>
                    <w:t>‌ج. 1. إذا تم إغلاق المركز إغلاقاً نهائياً أو مؤقتاً فللوزير نقل المنتفعين إلى أي مركز آخر على نفقة المركز إلى حين تسليمهم لذويهم على أن لا تزيد مدة النقل على سنة</w:t>
                  </w:r>
                  <w:r w:rsidRPr="00B76B25">
                    <w:rPr>
                      <w:rFonts w:ascii="Times New Roman" w:eastAsia="Times New Roman" w:hAnsi="Times New Roman" w:cs="Times New Roman"/>
                      <w:b/>
                      <w:bCs/>
                      <w:color w:val="666666"/>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666666"/>
                      <w:sz w:val="20"/>
                      <w:szCs w:val="20"/>
                      <w:rtl/>
                    </w:rPr>
                    <w:t>2. </w:t>
                  </w:r>
                  <w:r w:rsidRPr="00B76B25">
                    <w:rPr>
                      <w:rFonts w:ascii="Times New Roman" w:eastAsia="Times New Roman" w:hAnsi="Times New Roman" w:cs="Times New Roman"/>
                      <w:b/>
                      <w:bCs/>
                      <w:color w:val="666666"/>
                      <w:sz w:val="20"/>
                      <w:szCs w:val="20"/>
                    </w:rPr>
                    <w:t> </w:t>
                  </w:r>
                  <w:r w:rsidRPr="00B76B25">
                    <w:rPr>
                      <w:rFonts w:ascii="Times New Roman" w:eastAsia="Times New Roman" w:hAnsi="Times New Roman" w:cs="Times New Roman"/>
                      <w:b/>
                      <w:bCs/>
                      <w:color w:val="666666"/>
                      <w:sz w:val="20"/>
                      <w:szCs w:val="20"/>
                      <w:rtl/>
                    </w:rPr>
                    <w:t>يصدر الوزير قراراً بصرف الكفالة البنكية لتغطية نفقات المنتفعين الذين تم نقلهم من المركز الذي صدر قرار بإغلاقه لصالح المركز الذي نقلوا إليه</w:t>
                  </w:r>
                  <w:r w:rsidRPr="00B76B25">
                    <w:rPr>
                      <w:rFonts w:ascii="Times New Roman" w:eastAsia="Times New Roman" w:hAnsi="Times New Roman" w:cs="Times New Roman"/>
                      <w:b/>
                      <w:bCs/>
                      <w:color w:val="666666"/>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666666"/>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FF0000"/>
                      <w:sz w:val="20"/>
                      <w:szCs w:val="20"/>
                      <w:rtl/>
                    </w:rPr>
                    <w:t>المادة 13</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666666"/>
                      <w:sz w:val="20"/>
                      <w:szCs w:val="20"/>
                      <w:rtl/>
                    </w:rPr>
                    <w:t>على جميع المراكز القائمة قبل نفاذ أحكام هذا النظام تصويب أوضاعها وفقاً لأحكامه خلال ستة أشهر من تاريخ نفاذه وذلك تحت طائلة الإغلاق النهائي</w:t>
                  </w:r>
                  <w:r w:rsidRPr="00B76B25">
                    <w:rPr>
                      <w:rFonts w:ascii="Times New Roman" w:eastAsia="Times New Roman" w:hAnsi="Times New Roman" w:cs="Times New Roman"/>
                      <w:b/>
                      <w:bCs/>
                      <w:color w:val="666666"/>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666666"/>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FF0000"/>
                      <w:sz w:val="20"/>
                      <w:szCs w:val="20"/>
                      <w:rtl/>
                    </w:rPr>
                    <w:t>المادة 14</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666666"/>
                      <w:sz w:val="20"/>
                      <w:szCs w:val="20"/>
                      <w:rtl/>
                    </w:rPr>
                    <w:t>يلغى ( نظام مراكز ومؤسسات الأشخاص المعوقين رقم (96) لسنة 2008</w:t>
                  </w:r>
                  <w:r w:rsidRPr="00B76B25">
                    <w:rPr>
                      <w:rFonts w:ascii="Times New Roman" w:eastAsia="Times New Roman" w:hAnsi="Times New Roman" w:cs="Times New Roman"/>
                      <w:b/>
                      <w:bCs/>
                      <w:color w:val="666666"/>
                      <w:sz w:val="20"/>
                      <w:szCs w:val="20"/>
                    </w:rPr>
                    <w:t> </w:t>
                  </w:r>
                  <w:r w:rsidRPr="00B76B25">
                    <w:rPr>
                      <w:rFonts w:ascii="Times New Roman" w:eastAsia="Times New Roman" w:hAnsi="Times New Roman" w:cs="Times New Roman"/>
                      <w:b/>
                      <w:bCs/>
                      <w:color w:val="666666"/>
                      <w:sz w:val="20"/>
                      <w:szCs w:val="20"/>
                      <w:rtl/>
                    </w:rPr>
                    <w:t>)</w:t>
                  </w:r>
                  <w:r w:rsidRPr="00B76B25">
                    <w:rPr>
                      <w:rFonts w:ascii="Times New Roman" w:eastAsia="Times New Roman" w:hAnsi="Times New Roman" w:cs="Times New Roman"/>
                      <w:b/>
                      <w:bCs/>
                      <w:color w:val="666666"/>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666666"/>
                      <w:sz w:val="20"/>
                      <w:szCs w:val="20"/>
                    </w:rPr>
                    <w:t> </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tl/>
                    </w:rPr>
                  </w:pPr>
                  <w:r w:rsidRPr="00B76B25">
                    <w:rPr>
                      <w:rFonts w:ascii="Times New Roman" w:eastAsia="Times New Roman" w:hAnsi="Times New Roman" w:cs="Times New Roman"/>
                      <w:b/>
                      <w:bCs/>
                      <w:color w:val="FF0000"/>
                      <w:sz w:val="20"/>
                      <w:szCs w:val="20"/>
                      <w:rtl/>
                    </w:rPr>
                    <w:t>المادة 15</w:t>
                  </w:r>
                </w:p>
                <w:p w:rsidR="00B76B25" w:rsidRPr="00B76B25" w:rsidRDefault="00B76B25" w:rsidP="00B76B25">
                  <w:pPr>
                    <w:shd w:val="clear" w:color="auto" w:fill="FFFFFF"/>
                    <w:bidi/>
                    <w:spacing w:after="0" w:line="240" w:lineRule="auto"/>
                    <w:ind w:left="429"/>
                    <w:rPr>
                      <w:rFonts w:ascii="Times New Roman" w:eastAsia="Times New Roman" w:hAnsi="Times New Roman" w:cs="Times New Roman"/>
                      <w:b/>
                      <w:bCs/>
                      <w:sz w:val="24"/>
                      <w:szCs w:val="24"/>
                    </w:rPr>
                  </w:pPr>
                  <w:r w:rsidRPr="00B76B25">
                    <w:rPr>
                      <w:rFonts w:ascii="Times New Roman" w:eastAsia="Times New Roman" w:hAnsi="Times New Roman" w:cs="Times New Roman"/>
                      <w:b/>
                      <w:bCs/>
                      <w:color w:val="666666"/>
                      <w:sz w:val="20"/>
                      <w:szCs w:val="20"/>
                      <w:rtl/>
                    </w:rPr>
                    <w:t>يصدر الوزير التعليمات اللازمة لتنفيذ أحكام هذا النظام</w:t>
                  </w:r>
                  <w:r w:rsidRPr="00B76B25">
                    <w:rPr>
                      <w:rFonts w:ascii="Times New Roman" w:eastAsia="Times New Roman" w:hAnsi="Times New Roman" w:cs="Times New Roman"/>
                      <w:b/>
                      <w:bCs/>
                      <w:color w:val="666666"/>
                      <w:sz w:val="20"/>
                      <w:szCs w:val="20"/>
                    </w:rPr>
                    <w:t> .</w:t>
                  </w:r>
                </w:p>
              </w:tc>
            </w:tr>
          </w:tbl>
          <w:p w:rsidR="00B76B25" w:rsidRPr="00B76B25" w:rsidRDefault="00B76B25" w:rsidP="00B76B25">
            <w:pPr>
              <w:spacing w:before="230" w:after="0" w:line="240" w:lineRule="auto"/>
              <w:jc w:val="right"/>
              <w:rPr>
                <w:rFonts w:ascii="Times New Roman" w:eastAsia="Times New Roman" w:hAnsi="Times New Roman" w:cs="Times New Roman"/>
                <w:b/>
                <w:bCs/>
                <w:sz w:val="24"/>
                <w:szCs w:val="24"/>
              </w:rPr>
            </w:pPr>
          </w:p>
        </w:tc>
      </w:tr>
    </w:tbl>
    <w:p w:rsidR="00C15D45" w:rsidRPr="00B76B25" w:rsidRDefault="00C15D45" w:rsidP="00B76B25">
      <w:pPr>
        <w:bidi/>
      </w:pPr>
    </w:p>
    <w:sectPr w:rsidR="00C15D45" w:rsidRPr="00B76B25" w:rsidSect="00C15D4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B76B25"/>
    <w:rsid w:val="00B76B25"/>
    <w:rsid w:val="00C15D4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5D4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924</Words>
  <Characters>5271</Characters>
  <Application>Microsoft Office Word</Application>
  <DocSecurity>0</DocSecurity>
  <Lines>43</Lines>
  <Paragraphs>12</Paragraphs>
  <ScaleCrop>false</ScaleCrop>
  <Company/>
  <LinksUpToDate>false</LinksUpToDate>
  <CharactersWithSpaces>6183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Abdelqader Suleiman</dc:creator>
  <cp:lastModifiedBy>Abdelqader Suleiman</cp:lastModifiedBy>
  <cp:revision>1</cp:revision>
  <dcterms:created xsi:type="dcterms:W3CDTF">2023-05-27T11:36:00Z</dcterms:created>
  <dcterms:modified xsi:type="dcterms:W3CDTF">2023-05-27T11:37:00Z</dcterms:modified>
</cp:coreProperties>
</file>